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EA8" w:rsidRPr="00AA788C" w:rsidRDefault="00943B76" w:rsidP="00943B76">
      <w:pPr>
        <w:spacing w:after="0"/>
        <w:rPr>
          <w:rFonts w:ascii="Times New Roman" w:hAnsi="Times New Roman" w:cs="Times New Roman"/>
          <w:b/>
          <w:sz w:val="28"/>
          <w:szCs w:val="28"/>
        </w:rPr>
      </w:pPr>
      <w:r w:rsidRPr="00AA788C">
        <w:rPr>
          <w:rFonts w:ascii="Times New Roman" w:hAnsi="Times New Roman" w:cs="Times New Roman"/>
          <w:b/>
          <w:sz w:val="28"/>
          <w:szCs w:val="28"/>
        </w:rPr>
        <w:t xml:space="preserve">IS EPC </w:t>
      </w:r>
      <w:r w:rsidR="000A3F77" w:rsidRPr="00AA788C">
        <w:rPr>
          <w:rFonts w:ascii="Times New Roman" w:hAnsi="Times New Roman" w:cs="Times New Roman"/>
          <w:b/>
          <w:sz w:val="28"/>
          <w:szCs w:val="28"/>
        </w:rPr>
        <w:t xml:space="preserve">RIGHT </w:t>
      </w:r>
      <w:r w:rsidRPr="00AA788C">
        <w:rPr>
          <w:rFonts w:ascii="Times New Roman" w:hAnsi="Times New Roman" w:cs="Times New Roman"/>
          <w:b/>
          <w:sz w:val="28"/>
          <w:szCs w:val="28"/>
        </w:rPr>
        <w:t>FOR ME?</w:t>
      </w:r>
    </w:p>
    <w:p w:rsidR="00943B76" w:rsidRPr="00AA788C" w:rsidRDefault="00943B76" w:rsidP="00943B76">
      <w:pPr>
        <w:spacing w:after="0"/>
        <w:rPr>
          <w:rFonts w:ascii="Times New Roman" w:hAnsi="Times New Roman" w:cs="Times New Roman"/>
          <w:sz w:val="24"/>
          <w:szCs w:val="24"/>
        </w:rPr>
      </w:pPr>
      <w:r w:rsidRPr="00AA788C">
        <w:rPr>
          <w:rFonts w:ascii="Times New Roman" w:hAnsi="Times New Roman" w:cs="Times New Roman"/>
          <w:sz w:val="24"/>
          <w:szCs w:val="24"/>
        </w:rPr>
        <w:t xml:space="preserve">Energy performance contracting (EPC) is an alternative method of reducing utility and operating costs. The intent is to finance an improvement project with little or no capital upfront and use the savings to pay for the financing. EPC may apply to most public facilities. However, it is important to understand that EPC </w:t>
      </w:r>
      <w:r w:rsidR="000A3F77" w:rsidRPr="00AA788C">
        <w:rPr>
          <w:rFonts w:ascii="Times New Roman" w:hAnsi="Times New Roman" w:cs="Times New Roman"/>
          <w:sz w:val="24"/>
          <w:szCs w:val="24"/>
        </w:rPr>
        <w:t xml:space="preserve">is not for every facility. Some guidelines to use to determine if EPC is appropriate for your facility </w:t>
      </w:r>
    </w:p>
    <w:p w:rsidR="00943B76" w:rsidRPr="00AA788C" w:rsidRDefault="00943B76" w:rsidP="00943B76">
      <w:pPr>
        <w:spacing w:after="0"/>
        <w:rPr>
          <w:rFonts w:ascii="Times New Roman" w:hAnsi="Times New Roman" w:cs="Times New Roman"/>
          <w:sz w:val="24"/>
          <w:szCs w:val="24"/>
        </w:rPr>
      </w:pPr>
    </w:p>
    <w:p w:rsidR="00943B76" w:rsidRPr="00AA788C" w:rsidRDefault="00694831" w:rsidP="00160432">
      <w:pPr>
        <w:pStyle w:val="ListParagraph"/>
        <w:numPr>
          <w:ilvl w:val="0"/>
          <w:numId w:val="3"/>
        </w:numPr>
        <w:rPr>
          <w:szCs w:val="24"/>
        </w:rPr>
      </w:pPr>
      <w:r w:rsidRPr="00AA788C">
        <w:rPr>
          <w:szCs w:val="24"/>
        </w:rPr>
        <w:t>Put together a list of facilities to consider for EPC.</w:t>
      </w:r>
    </w:p>
    <w:p w:rsidR="00AA788C" w:rsidRPr="00AA788C" w:rsidRDefault="00AA788C" w:rsidP="00AA788C">
      <w:pPr>
        <w:pStyle w:val="ListParagraph"/>
        <w:rPr>
          <w:szCs w:val="24"/>
        </w:rPr>
      </w:pPr>
    </w:p>
    <w:p w:rsidR="00AA788C" w:rsidRPr="00AA788C" w:rsidRDefault="00694831" w:rsidP="00AA788C">
      <w:pPr>
        <w:pStyle w:val="ListParagraph"/>
        <w:numPr>
          <w:ilvl w:val="0"/>
          <w:numId w:val="3"/>
        </w:numPr>
        <w:rPr>
          <w:szCs w:val="24"/>
        </w:rPr>
      </w:pPr>
      <w:r w:rsidRPr="00AA788C">
        <w:rPr>
          <w:szCs w:val="24"/>
        </w:rPr>
        <w:t>Determine the area for each facility in square feet. Use the outside measurements for the building and subtract the upper levels of any atrium or similar open space.</w:t>
      </w:r>
    </w:p>
    <w:p w:rsidR="00AA788C" w:rsidRPr="00AA788C" w:rsidRDefault="00AA788C" w:rsidP="00AA788C">
      <w:pPr>
        <w:pStyle w:val="ListParagraph"/>
        <w:rPr>
          <w:szCs w:val="24"/>
        </w:rPr>
      </w:pPr>
    </w:p>
    <w:p w:rsidR="00694831" w:rsidRDefault="00694831" w:rsidP="00160432">
      <w:pPr>
        <w:pStyle w:val="ListParagraph"/>
        <w:numPr>
          <w:ilvl w:val="0"/>
          <w:numId w:val="3"/>
        </w:numPr>
        <w:rPr>
          <w:szCs w:val="24"/>
        </w:rPr>
      </w:pPr>
      <w:r w:rsidRPr="00AA788C">
        <w:rPr>
          <w:szCs w:val="24"/>
        </w:rPr>
        <w:t>Gather utility information for each facility for the most current 36 months. The information should include consumption (kWh, kW, DKT, therms, gallons, etc.) as well as costs for each commodity (electricity, gas, fuel oil, propane, water, etc.).</w:t>
      </w:r>
      <w:r w:rsidR="005915D8" w:rsidRPr="00AA788C">
        <w:rPr>
          <w:szCs w:val="24"/>
        </w:rPr>
        <w:t xml:space="preserve"> This information will be needed if you proceed with the EPC process.</w:t>
      </w:r>
    </w:p>
    <w:p w:rsidR="00AA788C" w:rsidRPr="00AA788C" w:rsidRDefault="00AA788C" w:rsidP="00AA788C">
      <w:pPr>
        <w:pStyle w:val="ListParagraph"/>
        <w:rPr>
          <w:szCs w:val="24"/>
        </w:rPr>
      </w:pPr>
    </w:p>
    <w:p w:rsidR="00694831" w:rsidRDefault="005915D8" w:rsidP="00160432">
      <w:pPr>
        <w:pStyle w:val="ListParagraph"/>
        <w:numPr>
          <w:ilvl w:val="0"/>
          <w:numId w:val="3"/>
        </w:numPr>
        <w:rPr>
          <w:szCs w:val="24"/>
        </w:rPr>
      </w:pPr>
      <w:r w:rsidRPr="00AA788C">
        <w:rPr>
          <w:szCs w:val="24"/>
        </w:rPr>
        <w:t>Determine the average annual energy use and cost for each facility.</w:t>
      </w:r>
    </w:p>
    <w:p w:rsidR="00AA788C" w:rsidRPr="00AA788C" w:rsidRDefault="00AA788C" w:rsidP="00AA788C">
      <w:pPr>
        <w:pStyle w:val="ListParagraph"/>
        <w:rPr>
          <w:szCs w:val="24"/>
        </w:rPr>
      </w:pPr>
    </w:p>
    <w:p w:rsidR="00A77513" w:rsidRPr="00AA788C" w:rsidRDefault="00A77513" w:rsidP="00160432">
      <w:pPr>
        <w:pStyle w:val="ListParagraph"/>
        <w:numPr>
          <w:ilvl w:val="0"/>
          <w:numId w:val="3"/>
        </w:numPr>
        <w:rPr>
          <w:szCs w:val="24"/>
        </w:rPr>
      </w:pPr>
      <w:r w:rsidRPr="00AA788C">
        <w:rPr>
          <w:szCs w:val="24"/>
        </w:rPr>
        <w:t>Energy use per square foot may be useful as well</w:t>
      </w:r>
      <w:r w:rsidR="00AA788C" w:rsidRPr="00AA788C">
        <w:rPr>
          <w:szCs w:val="24"/>
        </w:rPr>
        <w:t xml:space="preserve"> in determining potential energy savings</w:t>
      </w:r>
      <w:r w:rsidRPr="00AA788C">
        <w:rPr>
          <w:szCs w:val="24"/>
        </w:rPr>
        <w:t>. This is usually expressed as BTU/sq. ft</w:t>
      </w:r>
      <w:r w:rsidR="00AA788C" w:rsidRPr="00AA788C">
        <w:rPr>
          <w:szCs w:val="24"/>
        </w:rPr>
        <w:t>. /</w:t>
      </w:r>
      <w:r w:rsidR="00160432" w:rsidRPr="00AA788C">
        <w:rPr>
          <w:szCs w:val="24"/>
        </w:rPr>
        <w:t>year.</w:t>
      </w:r>
      <w:r w:rsidRPr="00AA788C">
        <w:rPr>
          <w:szCs w:val="24"/>
        </w:rPr>
        <w:t xml:space="preserve"> To convert from energy units to BTU, use the following factors.</w:t>
      </w:r>
    </w:p>
    <w:tbl>
      <w:tblPr>
        <w:tblStyle w:val="TableGrid"/>
        <w:tblW w:w="0" w:type="auto"/>
        <w:tblInd w:w="1188" w:type="dxa"/>
        <w:tblLayout w:type="fixed"/>
        <w:tblLook w:val="04A0" w:firstRow="1" w:lastRow="0" w:firstColumn="1" w:lastColumn="0" w:noHBand="0" w:noVBand="1"/>
      </w:tblPr>
      <w:tblGrid>
        <w:gridCol w:w="2520"/>
        <w:gridCol w:w="1440"/>
        <w:gridCol w:w="2520"/>
        <w:gridCol w:w="1440"/>
      </w:tblGrid>
      <w:tr w:rsidR="00160432" w:rsidRPr="00AA788C" w:rsidTr="00AA788C">
        <w:tc>
          <w:tcPr>
            <w:tcW w:w="2520" w:type="dxa"/>
          </w:tcPr>
          <w:p w:rsidR="00A77513" w:rsidRPr="00AA788C" w:rsidRDefault="00A77513" w:rsidP="00160432">
            <w:pPr>
              <w:rPr>
                <w:rFonts w:ascii="Times New Roman" w:hAnsi="Times New Roman" w:cs="Times New Roman"/>
                <w:sz w:val="24"/>
                <w:szCs w:val="24"/>
              </w:rPr>
            </w:pPr>
            <w:r w:rsidRPr="00AA788C">
              <w:rPr>
                <w:rFonts w:ascii="Times New Roman" w:hAnsi="Times New Roman" w:cs="Times New Roman"/>
                <w:sz w:val="24"/>
                <w:szCs w:val="24"/>
              </w:rPr>
              <w:t>Unit</w:t>
            </w:r>
          </w:p>
        </w:tc>
        <w:tc>
          <w:tcPr>
            <w:tcW w:w="1440" w:type="dxa"/>
          </w:tcPr>
          <w:p w:rsidR="00A77513" w:rsidRPr="00AA788C" w:rsidRDefault="00A77513" w:rsidP="00160432">
            <w:pPr>
              <w:rPr>
                <w:rFonts w:ascii="Times New Roman" w:hAnsi="Times New Roman" w:cs="Times New Roman"/>
                <w:sz w:val="24"/>
                <w:szCs w:val="24"/>
              </w:rPr>
            </w:pPr>
            <w:r w:rsidRPr="00AA788C">
              <w:rPr>
                <w:rFonts w:ascii="Times New Roman" w:hAnsi="Times New Roman" w:cs="Times New Roman"/>
                <w:sz w:val="24"/>
                <w:szCs w:val="24"/>
              </w:rPr>
              <w:t>Multiply by:</w:t>
            </w:r>
          </w:p>
        </w:tc>
        <w:tc>
          <w:tcPr>
            <w:tcW w:w="2520" w:type="dxa"/>
          </w:tcPr>
          <w:p w:rsidR="00A77513" w:rsidRPr="00AA788C" w:rsidRDefault="00A77513" w:rsidP="00160432">
            <w:pPr>
              <w:rPr>
                <w:rFonts w:ascii="Times New Roman" w:hAnsi="Times New Roman" w:cs="Times New Roman"/>
                <w:sz w:val="24"/>
                <w:szCs w:val="24"/>
              </w:rPr>
            </w:pPr>
            <w:r w:rsidRPr="00AA788C">
              <w:rPr>
                <w:rFonts w:ascii="Times New Roman" w:hAnsi="Times New Roman" w:cs="Times New Roman"/>
                <w:sz w:val="24"/>
                <w:szCs w:val="24"/>
              </w:rPr>
              <w:t>Unit</w:t>
            </w:r>
          </w:p>
        </w:tc>
        <w:tc>
          <w:tcPr>
            <w:tcW w:w="1440" w:type="dxa"/>
          </w:tcPr>
          <w:p w:rsidR="00A77513" w:rsidRPr="00AA788C" w:rsidRDefault="00A77513" w:rsidP="00160432">
            <w:pPr>
              <w:rPr>
                <w:rFonts w:ascii="Times New Roman" w:hAnsi="Times New Roman" w:cs="Times New Roman"/>
                <w:sz w:val="24"/>
                <w:szCs w:val="24"/>
              </w:rPr>
            </w:pPr>
            <w:r w:rsidRPr="00AA788C">
              <w:rPr>
                <w:rFonts w:ascii="Times New Roman" w:hAnsi="Times New Roman" w:cs="Times New Roman"/>
                <w:sz w:val="24"/>
                <w:szCs w:val="24"/>
              </w:rPr>
              <w:t>Multiply by:</w:t>
            </w:r>
          </w:p>
        </w:tc>
      </w:tr>
      <w:tr w:rsidR="00160432" w:rsidRPr="00AA788C" w:rsidTr="00AA788C">
        <w:tc>
          <w:tcPr>
            <w:tcW w:w="2520" w:type="dxa"/>
          </w:tcPr>
          <w:p w:rsidR="00A77513" w:rsidRPr="00AA788C" w:rsidRDefault="00D06D31" w:rsidP="00160432">
            <w:pPr>
              <w:rPr>
                <w:rFonts w:ascii="Times New Roman" w:hAnsi="Times New Roman" w:cs="Times New Roman"/>
                <w:sz w:val="24"/>
                <w:szCs w:val="24"/>
              </w:rPr>
            </w:pPr>
            <w:r w:rsidRPr="00AA788C">
              <w:rPr>
                <w:rFonts w:ascii="Times New Roman" w:hAnsi="Times New Roman" w:cs="Times New Roman"/>
                <w:sz w:val="24"/>
                <w:szCs w:val="24"/>
              </w:rPr>
              <w:t>Electricity (</w:t>
            </w:r>
            <w:r w:rsidR="00A77513" w:rsidRPr="00AA788C">
              <w:rPr>
                <w:rFonts w:ascii="Times New Roman" w:hAnsi="Times New Roman" w:cs="Times New Roman"/>
                <w:sz w:val="24"/>
                <w:szCs w:val="24"/>
              </w:rPr>
              <w:t>kWh</w:t>
            </w:r>
            <w:r w:rsidRPr="00AA788C">
              <w:rPr>
                <w:rFonts w:ascii="Times New Roman" w:hAnsi="Times New Roman" w:cs="Times New Roman"/>
                <w:sz w:val="24"/>
                <w:szCs w:val="24"/>
              </w:rPr>
              <w:t>)</w:t>
            </w:r>
          </w:p>
        </w:tc>
        <w:tc>
          <w:tcPr>
            <w:tcW w:w="1440" w:type="dxa"/>
          </w:tcPr>
          <w:p w:rsidR="00A77513" w:rsidRPr="00AA788C" w:rsidRDefault="00A77513" w:rsidP="00160432">
            <w:pPr>
              <w:jc w:val="center"/>
              <w:rPr>
                <w:rFonts w:ascii="Times New Roman" w:hAnsi="Times New Roman" w:cs="Times New Roman"/>
                <w:sz w:val="24"/>
                <w:szCs w:val="24"/>
              </w:rPr>
            </w:pPr>
            <w:r w:rsidRPr="00AA788C">
              <w:rPr>
                <w:rFonts w:ascii="Times New Roman" w:hAnsi="Times New Roman" w:cs="Times New Roman"/>
                <w:sz w:val="24"/>
                <w:szCs w:val="24"/>
              </w:rPr>
              <w:t>3,413</w:t>
            </w:r>
          </w:p>
        </w:tc>
        <w:tc>
          <w:tcPr>
            <w:tcW w:w="2520" w:type="dxa"/>
          </w:tcPr>
          <w:p w:rsidR="00A77513" w:rsidRPr="00AA788C" w:rsidRDefault="00D06D31" w:rsidP="00160432">
            <w:pPr>
              <w:rPr>
                <w:rFonts w:ascii="Times New Roman" w:hAnsi="Times New Roman" w:cs="Times New Roman"/>
                <w:sz w:val="24"/>
                <w:szCs w:val="24"/>
              </w:rPr>
            </w:pPr>
            <w:r w:rsidRPr="00AA788C">
              <w:rPr>
                <w:rFonts w:ascii="Times New Roman" w:hAnsi="Times New Roman" w:cs="Times New Roman"/>
                <w:sz w:val="24"/>
                <w:szCs w:val="24"/>
              </w:rPr>
              <w:t>Natural Gas (</w:t>
            </w:r>
            <w:r w:rsidR="00C91C19" w:rsidRPr="00AA788C">
              <w:rPr>
                <w:rFonts w:ascii="Times New Roman" w:hAnsi="Times New Roman" w:cs="Times New Roman"/>
                <w:sz w:val="24"/>
                <w:szCs w:val="24"/>
              </w:rPr>
              <w:t>Therm</w:t>
            </w:r>
            <w:r w:rsidRPr="00AA788C">
              <w:rPr>
                <w:rFonts w:ascii="Times New Roman" w:hAnsi="Times New Roman" w:cs="Times New Roman"/>
                <w:sz w:val="24"/>
                <w:szCs w:val="24"/>
              </w:rPr>
              <w:t>)</w:t>
            </w:r>
          </w:p>
        </w:tc>
        <w:tc>
          <w:tcPr>
            <w:tcW w:w="1440" w:type="dxa"/>
          </w:tcPr>
          <w:p w:rsidR="00A77513" w:rsidRPr="00AA788C" w:rsidRDefault="00C91C19" w:rsidP="00160432">
            <w:pPr>
              <w:jc w:val="center"/>
              <w:rPr>
                <w:rFonts w:ascii="Times New Roman" w:hAnsi="Times New Roman" w:cs="Times New Roman"/>
                <w:sz w:val="24"/>
                <w:szCs w:val="24"/>
              </w:rPr>
            </w:pPr>
            <w:r w:rsidRPr="00AA788C">
              <w:rPr>
                <w:rFonts w:ascii="Times New Roman" w:hAnsi="Times New Roman" w:cs="Times New Roman"/>
                <w:sz w:val="24"/>
                <w:szCs w:val="24"/>
              </w:rPr>
              <w:t>100,000</w:t>
            </w:r>
          </w:p>
        </w:tc>
      </w:tr>
      <w:tr w:rsidR="00160432" w:rsidRPr="00AA788C" w:rsidTr="00AA788C">
        <w:tc>
          <w:tcPr>
            <w:tcW w:w="2520" w:type="dxa"/>
          </w:tcPr>
          <w:p w:rsidR="00A77513" w:rsidRPr="00AA788C" w:rsidRDefault="00C91C19" w:rsidP="00160432">
            <w:pPr>
              <w:rPr>
                <w:rFonts w:ascii="Times New Roman" w:hAnsi="Times New Roman" w:cs="Times New Roman"/>
                <w:sz w:val="24"/>
                <w:szCs w:val="24"/>
              </w:rPr>
            </w:pPr>
            <w:r w:rsidRPr="00AA788C">
              <w:rPr>
                <w:rFonts w:ascii="Times New Roman" w:hAnsi="Times New Roman" w:cs="Times New Roman"/>
                <w:sz w:val="24"/>
                <w:szCs w:val="24"/>
              </w:rPr>
              <w:t>Propane (gallon)</w:t>
            </w:r>
          </w:p>
        </w:tc>
        <w:tc>
          <w:tcPr>
            <w:tcW w:w="1440" w:type="dxa"/>
          </w:tcPr>
          <w:p w:rsidR="00A77513" w:rsidRPr="00AA788C" w:rsidRDefault="00C91C19" w:rsidP="00160432">
            <w:pPr>
              <w:jc w:val="center"/>
              <w:rPr>
                <w:rFonts w:ascii="Times New Roman" w:hAnsi="Times New Roman" w:cs="Times New Roman"/>
                <w:sz w:val="24"/>
                <w:szCs w:val="24"/>
              </w:rPr>
            </w:pPr>
            <w:r w:rsidRPr="00AA788C">
              <w:rPr>
                <w:rFonts w:ascii="Times New Roman" w:hAnsi="Times New Roman" w:cs="Times New Roman"/>
                <w:sz w:val="24"/>
                <w:szCs w:val="24"/>
              </w:rPr>
              <w:t>92,000</w:t>
            </w:r>
          </w:p>
        </w:tc>
        <w:tc>
          <w:tcPr>
            <w:tcW w:w="2520" w:type="dxa"/>
          </w:tcPr>
          <w:p w:rsidR="00A77513" w:rsidRPr="00AA788C" w:rsidRDefault="00D06D31" w:rsidP="00160432">
            <w:pPr>
              <w:rPr>
                <w:rFonts w:ascii="Times New Roman" w:hAnsi="Times New Roman" w:cs="Times New Roman"/>
                <w:sz w:val="24"/>
                <w:szCs w:val="24"/>
              </w:rPr>
            </w:pPr>
            <w:r w:rsidRPr="00AA788C">
              <w:rPr>
                <w:rFonts w:ascii="Times New Roman" w:hAnsi="Times New Roman" w:cs="Times New Roman"/>
                <w:sz w:val="24"/>
                <w:szCs w:val="24"/>
              </w:rPr>
              <w:t>Natural Gas (</w:t>
            </w:r>
            <w:r w:rsidR="00A77513" w:rsidRPr="00AA788C">
              <w:rPr>
                <w:rFonts w:ascii="Times New Roman" w:hAnsi="Times New Roman" w:cs="Times New Roman"/>
                <w:sz w:val="24"/>
                <w:szCs w:val="24"/>
              </w:rPr>
              <w:t>DKT</w:t>
            </w:r>
            <w:r w:rsidRPr="00AA788C">
              <w:rPr>
                <w:rFonts w:ascii="Times New Roman" w:hAnsi="Times New Roman" w:cs="Times New Roman"/>
                <w:sz w:val="24"/>
                <w:szCs w:val="24"/>
              </w:rPr>
              <w:t>)</w:t>
            </w:r>
          </w:p>
        </w:tc>
        <w:tc>
          <w:tcPr>
            <w:tcW w:w="1440" w:type="dxa"/>
          </w:tcPr>
          <w:p w:rsidR="00A77513" w:rsidRPr="00AA788C" w:rsidRDefault="00A77513" w:rsidP="00160432">
            <w:pPr>
              <w:jc w:val="center"/>
              <w:rPr>
                <w:rFonts w:ascii="Times New Roman" w:hAnsi="Times New Roman" w:cs="Times New Roman"/>
                <w:sz w:val="24"/>
                <w:szCs w:val="24"/>
              </w:rPr>
            </w:pPr>
            <w:r w:rsidRPr="00AA788C">
              <w:rPr>
                <w:rFonts w:ascii="Times New Roman" w:hAnsi="Times New Roman" w:cs="Times New Roman"/>
                <w:sz w:val="24"/>
                <w:szCs w:val="24"/>
              </w:rPr>
              <w:t>1,000,000</w:t>
            </w:r>
          </w:p>
        </w:tc>
      </w:tr>
      <w:tr w:rsidR="00160432" w:rsidRPr="00AA788C" w:rsidTr="00AA788C">
        <w:tc>
          <w:tcPr>
            <w:tcW w:w="2520" w:type="dxa"/>
          </w:tcPr>
          <w:p w:rsidR="00A77513" w:rsidRPr="00AA788C" w:rsidRDefault="00A77513" w:rsidP="00160432">
            <w:pPr>
              <w:rPr>
                <w:rFonts w:ascii="Times New Roman" w:hAnsi="Times New Roman" w:cs="Times New Roman"/>
                <w:sz w:val="24"/>
                <w:szCs w:val="24"/>
              </w:rPr>
            </w:pPr>
            <w:r w:rsidRPr="00AA788C">
              <w:rPr>
                <w:rFonts w:ascii="Times New Roman" w:hAnsi="Times New Roman" w:cs="Times New Roman"/>
                <w:sz w:val="24"/>
                <w:szCs w:val="24"/>
              </w:rPr>
              <w:t>Gallon Fuel Oil (#2)</w:t>
            </w:r>
          </w:p>
        </w:tc>
        <w:tc>
          <w:tcPr>
            <w:tcW w:w="1440" w:type="dxa"/>
          </w:tcPr>
          <w:p w:rsidR="00A77513" w:rsidRPr="00AA788C" w:rsidRDefault="00A77513" w:rsidP="00160432">
            <w:pPr>
              <w:jc w:val="center"/>
              <w:rPr>
                <w:rFonts w:ascii="Times New Roman" w:hAnsi="Times New Roman" w:cs="Times New Roman"/>
                <w:sz w:val="24"/>
                <w:szCs w:val="24"/>
              </w:rPr>
            </w:pPr>
            <w:r w:rsidRPr="00AA788C">
              <w:rPr>
                <w:rFonts w:ascii="Times New Roman" w:hAnsi="Times New Roman" w:cs="Times New Roman"/>
                <w:sz w:val="24"/>
                <w:szCs w:val="24"/>
              </w:rPr>
              <w:t>138,000</w:t>
            </w:r>
          </w:p>
        </w:tc>
        <w:tc>
          <w:tcPr>
            <w:tcW w:w="2520" w:type="dxa"/>
          </w:tcPr>
          <w:p w:rsidR="00A77513" w:rsidRPr="00AA788C" w:rsidRDefault="00C91C19" w:rsidP="00160432">
            <w:pPr>
              <w:rPr>
                <w:rFonts w:ascii="Times New Roman" w:hAnsi="Times New Roman" w:cs="Times New Roman"/>
                <w:sz w:val="24"/>
                <w:szCs w:val="24"/>
              </w:rPr>
            </w:pPr>
            <w:r w:rsidRPr="00AA788C">
              <w:rPr>
                <w:rFonts w:ascii="Times New Roman" w:hAnsi="Times New Roman" w:cs="Times New Roman"/>
                <w:sz w:val="24"/>
                <w:szCs w:val="24"/>
              </w:rPr>
              <w:t>Wood (ton)</w:t>
            </w:r>
          </w:p>
        </w:tc>
        <w:tc>
          <w:tcPr>
            <w:tcW w:w="1440" w:type="dxa"/>
          </w:tcPr>
          <w:p w:rsidR="00A77513" w:rsidRPr="00AA788C" w:rsidRDefault="00C91C19" w:rsidP="00160432">
            <w:pPr>
              <w:jc w:val="center"/>
              <w:rPr>
                <w:rFonts w:ascii="Times New Roman" w:hAnsi="Times New Roman" w:cs="Times New Roman"/>
                <w:sz w:val="24"/>
                <w:szCs w:val="24"/>
              </w:rPr>
            </w:pPr>
            <w:r w:rsidRPr="00AA788C">
              <w:rPr>
                <w:rFonts w:ascii="Times New Roman" w:hAnsi="Times New Roman" w:cs="Times New Roman"/>
                <w:sz w:val="24"/>
                <w:szCs w:val="24"/>
              </w:rPr>
              <w:t>15,380,000</w:t>
            </w:r>
          </w:p>
        </w:tc>
      </w:tr>
      <w:tr w:rsidR="00797428" w:rsidRPr="00AA788C" w:rsidTr="00AA788C">
        <w:tc>
          <w:tcPr>
            <w:tcW w:w="2520" w:type="dxa"/>
          </w:tcPr>
          <w:p w:rsidR="00797428" w:rsidRPr="00AA788C" w:rsidRDefault="00797428" w:rsidP="00160432">
            <w:pPr>
              <w:rPr>
                <w:rFonts w:ascii="Times New Roman" w:hAnsi="Times New Roman" w:cs="Times New Roman"/>
                <w:sz w:val="24"/>
                <w:szCs w:val="24"/>
              </w:rPr>
            </w:pPr>
            <w:r w:rsidRPr="00AA788C">
              <w:rPr>
                <w:rFonts w:ascii="Times New Roman" w:hAnsi="Times New Roman" w:cs="Times New Roman"/>
                <w:sz w:val="24"/>
                <w:szCs w:val="24"/>
              </w:rPr>
              <w:t>Coal (ton)</w:t>
            </w:r>
            <w:r w:rsidR="00AA788C" w:rsidRPr="00AA788C">
              <w:rPr>
                <w:rFonts w:ascii="Times New Roman" w:hAnsi="Times New Roman" w:cs="Times New Roman"/>
                <w:sz w:val="24"/>
                <w:szCs w:val="24"/>
              </w:rPr>
              <w:t xml:space="preserve"> e.g.</w:t>
            </w:r>
            <w:r w:rsidR="00C91C19" w:rsidRPr="00AA788C">
              <w:rPr>
                <w:rFonts w:ascii="Times New Roman" w:hAnsi="Times New Roman" w:cs="Times New Roman"/>
                <w:sz w:val="24"/>
                <w:szCs w:val="24"/>
              </w:rPr>
              <w:t xml:space="preserve"> Colstrip</w:t>
            </w:r>
          </w:p>
        </w:tc>
        <w:tc>
          <w:tcPr>
            <w:tcW w:w="1440" w:type="dxa"/>
          </w:tcPr>
          <w:p w:rsidR="00797428" w:rsidRPr="00AA788C" w:rsidRDefault="00797428" w:rsidP="00160432">
            <w:pPr>
              <w:jc w:val="center"/>
              <w:rPr>
                <w:rFonts w:ascii="Times New Roman" w:hAnsi="Times New Roman" w:cs="Times New Roman"/>
                <w:sz w:val="24"/>
                <w:szCs w:val="24"/>
              </w:rPr>
            </w:pPr>
            <w:r w:rsidRPr="00AA788C">
              <w:rPr>
                <w:rFonts w:ascii="Times New Roman" w:hAnsi="Times New Roman" w:cs="Times New Roman"/>
                <w:sz w:val="24"/>
                <w:szCs w:val="24"/>
              </w:rPr>
              <w:t>17,000</w:t>
            </w:r>
            <w:r w:rsidR="00C91C19" w:rsidRPr="00AA788C">
              <w:rPr>
                <w:rFonts w:ascii="Times New Roman" w:hAnsi="Times New Roman" w:cs="Times New Roman"/>
                <w:sz w:val="24"/>
                <w:szCs w:val="24"/>
              </w:rPr>
              <w:t>,000</w:t>
            </w:r>
          </w:p>
        </w:tc>
        <w:tc>
          <w:tcPr>
            <w:tcW w:w="2520" w:type="dxa"/>
          </w:tcPr>
          <w:p w:rsidR="00797428" w:rsidRPr="00AA788C" w:rsidRDefault="00C91C19" w:rsidP="00160432">
            <w:pPr>
              <w:rPr>
                <w:rFonts w:ascii="Times New Roman" w:hAnsi="Times New Roman" w:cs="Times New Roman"/>
                <w:sz w:val="24"/>
                <w:szCs w:val="24"/>
              </w:rPr>
            </w:pPr>
            <w:r w:rsidRPr="00AA788C">
              <w:rPr>
                <w:rFonts w:ascii="Times New Roman" w:hAnsi="Times New Roman" w:cs="Times New Roman"/>
                <w:sz w:val="24"/>
                <w:szCs w:val="24"/>
              </w:rPr>
              <w:t>Coal (ton) Signal Peak</w:t>
            </w:r>
          </w:p>
        </w:tc>
        <w:tc>
          <w:tcPr>
            <w:tcW w:w="1440" w:type="dxa"/>
          </w:tcPr>
          <w:p w:rsidR="00797428" w:rsidRPr="00AA788C" w:rsidRDefault="00C91C19" w:rsidP="00160432">
            <w:pPr>
              <w:jc w:val="center"/>
              <w:rPr>
                <w:rFonts w:ascii="Times New Roman" w:hAnsi="Times New Roman" w:cs="Times New Roman"/>
                <w:sz w:val="24"/>
                <w:szCs w:val="24"/>
              </w:rPr>
            </w:pPr>
            <w:r w:rsidRPr="00AA788C">
              <w:rPr>
                <w:rFonts w:ascii="Times New Roman" w:hAnsi="Times New Roman" w:cs="Times New Roman"/>
                <w:sz w:val="24"/>
                <w:szCs w:val="24"/>
              </w:rPr>
              <w:t>20,600,000</w:t>
            </w:r>
          </w:p>
        </w:tc>
      </w:tr>
    </w:tbl>
    <w:p w:rsidR="00A77513" w:rsidRPr="00AA788C" w:rsidRDefault="00A77513" w:rsidP="00A77513">
      <w:pPr>
        <w:pStyle w:val="ListParagraph"/>
        <w:rPr>
          <w:szCs w:val="24"/>
        </w:rPr>
      </w:pPr>
    </w:p>
    <w:p w:rsidR="00D06D31" w:rsidRPr="00AA788C" w:rsidRDefault="00D06D31" w:rsidP="00160432">
      <w:pPr>
        <w:pStyle w:val="ListParagraph"/>
        <w:numPr>
          <w:ilvl w:val="0"/>
          <w:numId w:val="3"/>
        </w:numPr>
        <w:rPr>
          <w:szCs w:val="24"/>
        </w:rPr>
      </w:pPr>
      <w:r w:rsidRPr="00AA788C">
        <w:rPr>
          <w:szCs w:val="24"/>
        </w:rPr>
        <w:t>Compare the facility energy use to the following:</w:t>
      </w:r>
    </w:p>
    <w:tbl>
      <w:tblPr>
        <w:tblStyle w:val="TableGrid"/>
        <w:tblW w:w="0" w:type="auto"/>
        <w:tblInd w:w="1188" w:type="dxa"/>
        <w:tblLook w:val="04A0" w:firstRow="1" w:lastRow="0" w:firstColumn="1" w:lastColumn="0" w:noHBand="0" w:noVBand="1"/>
      </w:tblPr>
      <w:tblGrid>
        <w:gridCol w:w="2520"/>
        <w:gridCol w:w="2340"/>
        <w:gridCol w:w="1372"/>
      </w:tblGrid>
      <w:tr w:rsidR="00E242CB" w:rsidRPr="00AA788C" w:rsidTr="00641032">
        <w:tc>
          <w:tcPr>
            <w:tcW w:w="2520" w:type="dxa"/>
          </w:tcPr>
          <w:p w:rsidR="00E242CB" w:rsidRPr="00AA788C" w:rsidRDefault="00E242CB" w:rsidP="00E7435B">
            <w:pPr>
              <w:ind w:left="360"/>
              <w:rPr>
                <w:rFonts w:ascii="Times New Roman" w:hAnsi="Times New Roman" w:cs="Times New Roman"/>
                <w:sz w:val="24"/>
                <w:szCs w:val="24"/>
              </w:rPr>
            </w:pPr>
          </w:p>
        </w:tc>
        <w:tc>
          <w:tcPr>
            <w:tcW w:w="2340" w:type="dxa"/>
          </w:tcPr>
          <w:p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 xml:space="preserve">Typical </w:t>
            </w:r>
            <w:r w:rsidRPr="00AA788C">
              <w:rPr>
                <w:rFonts w:ascii="Times New Roman" w:hAnsi="Times New Roman" w:cs="Times New Roman"/>
                <w:sz w:val="24"/>
                <w:szCs w:val="24"/>
              </w:rPr>
              <w:t>Range (kBTU/SF/yr)</w:t>
            </w:r>
          </w:p>
        </w:tc>
        <w:tc>
          <w:tcPr>
            <w:tcW w:w="1372" w:type="dxa"/>
          </w:tcPr>
          <w:p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 xml:space="preserve">Energy Star </w:t>
            </w:r>
            <w:r w:rsidRPr="00AA788C">
              <w:rPr>
                <w:rFonts w:ascii="Times New Roman" w:hAnsi="Times New Roman" w:cs="Times New Roman"/>
                <w:sz w:val="24"/>
                <w:szCs w:val="24"/>
              </w:rPr>
              <w:t>Median</w:t>
            </w:r>
          </w:p>
        </w:tc>
      </w:tr>
      <w:tr w:rsidR="00E242CB" w:rsidRPr="00AA788C" w:rsidTr="00641032">
        <w:tc>
          <w:tcPr>
            <w:tcW w:w="2520" w:type="dxa"/>
          </w:tcPr>
          <w:p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Elementary School</w:t>
            </w:r>
          </w:p>
        </w:tc>
        <w:tc>
          <w:tcPr>
            <w:tcW w:w="2340" w:type="dxa"/>
          </w:tcPr>
          <w:p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30 – 80</w:t>
            </w:r>
          </w:p>
        </w:tc>
        <w:tc>
          <w:tcPr>
            <w:tcW w:w="1372" w:type="dxa"/>
          </w:tcPr>
          <w:p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48.5</w:t>
            </w:r>
          </w:p>
        </w:tc>
      </w:tr>
      <w:tr w:rsidR="00E242CB" w:rsidRPr="00AA788C" w:rsidTr="00641032">
        <w:tc>
          <w:tcPr>
            <w:tcW w:w="2520" w:type="dxa"/>
          </w:tcPr>
          <w:p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Middle/High School</w:t>
            </w:r>
          </w:p>
        </w:tc>
        <w:tc>
          <w:tcPr>
            <w:tcW w:w="2340" w:type="dxa"/>
          </w:tcPr>
          <w:p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35 – 120</w:t>
            </w:r>
          </w:p>
        </w:tc>
        <w:tc>
          <w:tcPr>
            <w:tcW w:w="1372" w:type="dxa"/>
          </w:tcPr>
          <w:p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48.5</w:t>
            </w:r>
          </w:p>
        </w:tc>
      </w:tr>
      <w:tr w:rsidR="00E242CB" w:rsidRPr="00AA788C" w:rsidTr="00B369ED">
        <w:trPr>
          <w:trHeight w:val="260"/>
        </w:trPr>
        <w:tc>
          <w:tcPr>
            <w:tcW w:w="2520" w:type="dxa"/>
          </w:tcPr>
          <w:p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Vocational Shop</w:t>
            </w:r>
          </w:p>
        </w:tc>
        <w:tc>
          <w:tcPr>
            <w:tcW w:w="2340" w:type="dxa"/>
          </w:tcPr>
          <w:p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40 – 120</w:t>
            </w:r>
          </w:p>
        </w:tc>
        <w:tc>
          <w:tcPr>
            <w:tcW w:w="1372" w:type="dxa"/>
          </w:tcPr>
          <w:p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52.4</w:t>
            </w:r>
          </w:p>
        </w:tc>
      </w:tr>
      <w:tr w:rsidR="00E242CB" w:rsidRPr="00AA788C" w:rsidTr="00641032">
        <w:tc>
          <w:tcPr>
            <w:tcW w:w="2520" w:type="dxa"/>
          </w:tcPr>
          <w:p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Office</w:t>
            </w:r>
          </w:p>
        </w:tc>
        <w:tc>
          <w:tcPr>
            <w:tcW w:w="2340" w:type="dxa"/>
          </w:tcPr>
          <w:p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40 – 125</w:t>
            </w:r>
          </w:p>
        </w:tc>
        <w:tc>
          <w:tcPr>
            <w:tcW w:w="1372" w:type="dxa"/>
          </w:tcPr>
          <w:p w:rsidR="00E242CB" w:rsidRPr="00AA788C" w:rsidRDefault="00E242CB" w:rsidP="00641032">
            <w:pPr>
              <w:jc w:val="center"/>
              <w:rPr>
                <w:rFonts w:ascii="Times New Roman" w:hAnsi="Times New Roman" w:cs="Times New Roman"/>
                <w:sz w:val="24"/>
                <w:szCs w:val="24"/>
              </w:rPr>
            </w:pPr>
            <w:r>
              <w:rPr>
                <w:rFonts w:ascii="Times New Roman" w:hAnsi="Times New Roman" w:cs="Times New Roman"/>
                <w:sz w:val="24"/>
                <w:szCs w:val="24"/>
              </w:rPr>
              <w:t>52.9</w:t>
            </w:r>
          </w:p>
        </w:tc>
      </w:tr>
      <w:tr w:rsidR="00E242CB" w:rsidRPr="00AA788C" w:rsidTr="00641032">
        <w:tc>
          <w:tcPr>
            <w:tcW w:w="2520" w:type="dxa"/>
          </w:tcPr>
          <w:p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Nursing Home</w:t>
            </w:r>
          </w:p>
        </w:tc>
        <w:tc>
          <w:tcPr>
            <w:tcW w:w="2340" w:type="dxa"/>
          </w:tcPr>
          <w:p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75 – 175</w:t>
            </w:r>
          </w:p>
        </w:tc>
        <w:tc>
          <w:tcPr>
            <w:tcW w:w="1372" w:type="dxa"/>
          </w:tcPr>
          <w:p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99.0</w:t>
            </w:r>
          </w:p>
        </w:tc>
      </w:tr>
      <w:tr w:rsidR="00E242CB" w:rsidRPr="00AA788C" w:rsidTr="00641032">
        <w:tc>
          <w:tcPr>
            <w:tcW w:w="2520" w:type="dxa"/>
          </w:tcPr>
          <w:p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Hospital</w:t>
            </w:r>
          </w:p>
        </w:tc>
        <w:tc>
          <w:tcPr>
            <w:tcW w:w="2340" w:type="dxa"/>
          </w:tcPr>
          <w:p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150 – 4</w:t>
            </w:r>
            <w:r w:rsidRPr="00AA788C">
              <w:rPr>
                <w:rFonts w:ascii="Times New Roman" w:hAnsi="Times New Roman" w:cs="Times New Roman"/>
                <w:sz w:val="24"/>
                <w:szCs w:val="24"/>
              </w:rPr>
              <w:t>00</w:t>
            </w:r>
          </w:p>
        </w:tc>
        <w:tc>
          <w:tcPr>
            <w:tcW w:w="1372" w:type="dxa"/>
          </w:tcPr>
          <w:p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234.3</w:t>
            </w:r>
          </w:p>
        </w:tc>
      </w:tr>
      <w:tr w:rsidR="00E242CB" w:rsidRPr="00AA788C" w:rsidTr="00641032">
        <w:tc>
          <w:tcPr>
            <w:tcW w:w="2520" w:type="dxa"/>
          </w:tcPr>
          <w:p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City/County Shop</w:t>
            </w:r>
          </w:p>
        </w:tc>
        <w:tc>
          <w:tcPr>
            <w:tcW w:w="2340" w:type="dxa"/>
          </w:tcPr>
          <w:p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25 – 100</w:t>
            </w:r>
          </w:p>
        </w:tc>
        <w:tc>
          <w:tcPr>
            <w:tcW w:w="1372" w:type="dxa"/>
          </w:tcPr>
          <w:p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47.9</w:t>
            </w:r>
          </w:p>
        </w:tc>
      </w:tr>
      <w:tr w:rsidR="00E242CB" w:rsidRPr="00AA788C" w:rsidTr="00641032">
        <w:tc>
          <w:tcPr>
            <w:tcW w:w="2520" w:type="dxa"/>
          </w:tcPr>
          <w:p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Fire Station</w:t>
            </w:r>
          </w:p>
        </w:tc>
        <w:tc>
          <w:tcPr>
            <w:tcW w:w="2340" w:type="dxa"/>
          </w:tcPr>
          <w:p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45 – 150</w:t>
            </w:r>
          </w:p>
        </w:tc>
        <w:tc>
          <w:tcPr>
            <w:tcW w:w="1372" w:type="dxa"/>
          </w:tcPr>
          <w:p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63.5</w:t>
            </w:r>
          </w:p>
        </w:tc>
      </w:tr>
      <w:tr w:rsidR="00E242CB" w:rsidRPr="00AA788C" w:rsidTr="00641032">
        <w:tc>
          <w:tcPr>
            <w:tcW w:w="2520" w:type="dxa"/>
          </w:tcPr>
          <w:p w:rsidR="00E242CB" w:rsidRPr="00AA788C" w:rsidRDefault="00E242CB" w:rsidP="00E7435B">
            <w:pPr>
              <w:rPr>
                <w:rFonts w:ascii="Times New Roman" w:hAnsi="Times New Roman" w:cs="Times New Roman"/>
                <w:sz w:val="24"/>
                <w:szCs w:val="24"/>
              </w:rPr>
            </w:pPr>
            <w:r w:rsidRPr="00AA788C">
              <w:rPr>
                <w:rFonts w:ascii="Times New Roman" w:hAnsi="Times New Roman" w:cs="Times New Roman"/>
                <w:sz w:val="24"/>
                <w:szCs w:val="24"/>
              </w:rPr>
              <w:t>Multifamily Housing</w:t>
            </w:r>
          </w:p>
        </w:tc>
        <w:tc>
          <w:tcPr>
            <w:tcW w:w="2340" w:type="dxa"/>
          </w:tcPr>
          <w:p w:rsidR="00E242CB" w:rsidRPr="00AA788C" w:rsidRDefault="00E242CB" w:rsidP="00E7435B">
            <w:pPr>
              <w:jc w:val="center"/>
              <w:rPr>
                <w:rFonts w:ascii="Times New Roman" w:hAnsi="Times New Roman" w:cs="Times New Roman"/>
                <w:sz w:val="24"/>
                <w:szCs w:val="24"/>
              </w:rPr>
            </w:pPr>
            <w:r w:rsidRPr="00AA788C">
              <w:rPr>
                <w:rFonts w:ascii="Times New Roman" w:hAnsi="Times New Roman" w:cs="Times New Roman"/>
                <w:sz w:val="24"/>
                <w:szCs w:val="24"/>
              </w:rPr>
              <w:t>50 – 125</w:t>
            </w:r>
          </w:p>
        </w:tc>
        <w:tc>
          <w:tcPr>
            <w:tcW w:w="1372" w:type="dxa"/>
          </w:tcPr>
          <w:p w:rsidR="00E242CB" w:rsidRPr="00AA788C" w:rsidRDefault="00E242CB" w:rsidP="00E7435B">
            <w:pPr>
              <w:jc w:val="center"/>
              <w:rPr>
                <w:rFonts w:ascii="Times New Roman" w:hAnsi="Times New Roman" w:cs="Times New Roman"/>
                <w:sz w:val="24"/>
                <w:szCs w:val="24"/>
              </w:rPr>
            </w:pPr>
            <w:r>
              <w:rPr>
                <w:rFonts w:ascii="Times New Roman" w:hAnsi="Times New Roman" w:cs="Times New Roman"/>
                <w:sz w:val="24"/>
                <w:szCs w:val="24"/>
              </w:rPr>
              <w:t>59.6</w:t>
            </w:r>
          </w:p>
        </w:tc>
      </w:tr>
    </w:tbl>
    <w:p w:rsidR="005B5ED9" w:rsidRDefault="00AA788C" w:rsidP="00AA788C">
      <w:pPr>
        <w:pStyle w:val="ListParagraph"/>
        <w:ind w:left="1440"/>
        <w:rPr>
          <w:szCs w:val="24"/>
        </w:rPr>
      </w:pPr>
      <w:r>
        <w:rPr>
          <w:szCs w:val="24"/>
        </w:rPr>
        <w:t>kBTU = thousands of BTU</w:t>
      </w:r>
    </w:p>
    <w:p w:rsidR="00AA788C" w:rsidRPr="00AA788C" w:rsidRDefault="00AA788C" w:rsidP="00A77513">
      <w:pPr>
        <w:pStyle w:val="ListParagraph"/>
        <w:rPr>
          <w:szCs w:val="24"/>
        </w:rPr>
      </w:pPr>
    </w:p>
    <w:p w:rsidR="005915D8" w:rsidRDefault="00D06D31" w:rsidP="00160432">
      <w:pPr>
        <w:pStyle w:val="ListParagraph"/>
        <w:numPr>
          <w:ilvl w:val="0"/>
          <w:numId w:val="3"/>
        </w:numPr>
        <w:rPr>
          <w:szCs w:val="24"/>
        </w:rPr>
      </w:pPr>
      <w:r w:rsidRPr="00AA788C">
        <w:rPr>
          <w:szCs w:val="24"/>
        </w:rPr>
        <w:t xml:space="preserve">If the facility energy use is toward the bottom of the range, </w:t>
      </w:r>
      <w:r w:rsidR="009D288A" w:rsidRPr="00AA788C">
        <w:rPr>
          <w:szCs w:val="24"/>
        </w:rPr>
        <w:t>the savings from an EPC are likely to be 10% or less. If the energy use is around the median, the savings are likely to be 20-25%. If the energy use is near the top of the range, the potential savings are li</w:t>
      </w:r>
      <w:bookmarkStart w:id="0" w:name="_GoBack"/>
      <w:bookmarkEnd w:id="0"/>
      <w:r w:rsidR="009D288A" w:rsidRPr="00AA788C">
        <w:rPr>
          <w:szCs w:val="24"/>
        </w:rPr>
        <w:t xml:space="preserve">kely </w:t>
      </w:r>
      <w:r w:rsidR="009D288A" w:rsidRPr="00AA788C">
        <w:rPr>
          <w:szCs w:val="24"/>
        </w:rPr>
        <w:lastRenderedPageBreak/>
        <w:t xml:space="preserve">to be in the 30-40% range. </w:t>
      </w:r>
      <w:r w:rsidR="005915D8" w:rsidRPr="00AA788C">
        <w:rPr>
          <w:szCs w:val="24"/>
        </w:rPr>
        <w:t xml:space="preserve">Utility savings for most facilities generally do not exceed </w:t>
      </w:r>
      <w:r w:rsidR="00A77513" w:rsidRPr="00AA788C">
        <w:rPr>
          <w:szCs w:val="24"/>
        </w:rPr>
        <w:t>40</w:t>
      </w:r>
      <w:r w:rsidR="005915D8" w:rsidRPr="00AA788C">
        <w:rPr>
          <w:szCs w:val="24"/>
        </w:rPr>
        <w:t>%</w:t>
      </w:r>
      <w:r w:rsidR="00A77513" w:rsidRPr="00AA788C">
        <w:rPr>
          <w:szCs w:val="24"/>
        </w:rPr>
        <w:t xml:space="preserve">. The typical range is 15-25%. </w:t>
      </w:r>
    </w:p>
    <w:p w:rsidR="00AA788C" w:rsidRPr="00AA788C" w:rsidRDefault="00AA788C" w:rsidP="00AA788C">
      <w:pPr>
        <w:pStyle w:val="ListParagraph"/>
        <w:rPr>
          <w:szCs w:val="24"/>
        </w:rPr>
      </w:pPr>
    </w:p>
    <w:p w:rsidR="00943B76" w:rsidRDefault="009D288A" w:rsidP="00160432">
      <w:pPr>
        <w:pStyle w:val="ListParagraph"/>
        <w:numPr>
          <w:ilvl w:val="0"/>
          <w:numId w:val="3"/>
        </w:numPr>
        <w:rPr>
          <w:szCs w:val="24"/>
        </w:rPr>
      </w:pPr>
      <w:r w:rsidRPr="00AA788C">
        <w:rPr>
          <w:szCs w:val="24"/>
        </w:rPr>
        <w:t>Review your financing requirements. D</w:t>
      </w:r>
      <w:r w:rsidR="00943B76" w:rsidRPr="00AA788C">
        <w:rPr>
          <w:szCs w:val="24"/>
        </w:rPr>
        <w:t>epending on the source, the finance term is typically 1</w:t>
      </w:r>
      <w:r w:rsidRPr="00AA788C">
        <w:rPr>
          <w:szCs w:val="24"/>
        </w:rPr>
        <w:t>0 to</w:t>
      </w:r>
      <w:r w:rsidR="00943B76" w:rsidRPr="00AA788C">
        <w:rPr>
          <w:szCs w:val="24"/>
        </w:rPr>
        <w:t xml:space="preserve"> 20 years.</w:t>
      </w:r>
      <w:r w:rsidRPr="00AA788C">
        <w:rPr>
          <w:szCs w:val="24"/>
        </w:rPr>
        <w:t xml:space="preserve"> EPC is limited to a maximum of 20 years.</w:t>
      </w:r>
    </w:p>
    <w:p w:rsidR="00AA788C" w:rsidRPr="00AA788C" w:rsidRDefault="00AA788C" w:rsidP="00AA788C">
      <w:pPr>
        <w:pStyle w:val="ListParagraph"/>
        <w:rPr>
          <w:szCs w:val="24"/>
        </w:rPr>
      </w:pPr>
    </w:p>
    <w:p w:rsidR="00943B76" w:rsidRDefault="00943B76" w:rsidP="00160432">
      <w:pPr>
        <w:pStyle w:val="ListParagraph"/>
        <w:numPr>
          <w:ilvl w:val="0"/>
          <w:numId w:val="3"/>
        </w:numPr>
        <w:rPr>
          <w:szCs w:val="24"/>
        </w:rPr>
      </w:pPr>
      <w:r w:rsidRPr="00AA788C">
        <w:rPr>
          <w:szCs w:val="24"/>
        </w:rPr>
        <w:t>Ignoring cost escalation (escalation</w:t>
      </w:r>
      <w:r w:rsidR="005609BC" w:rsidRPr="00AA788C">
        <w:rPr>
          <w:szCs w:val="24"/>
        </w:rPr>
        <w:t xml:space="preserve"> is generally not guaranteed in EPC</w:t>
      </w:r>
      <w:r w:rsidRPr="00AA788C">
        <w:rPr>
          <w:szCs w:val="24"/>
        </w:rPr>
        <w:t>), the</w:t>
      </w:r>
      <w:r w:rsidR="00862597">
        <w:rPr>
          <w:szCs w:val="24"/>
        </w:rPr>
        <w:t xml:space="preserve"> </w:t>
      </w:r>
      <w:r w:rsidRPr="00AA788C">
        <w:rPr>
          <w:szCs w:val="24"/>
        </w:rPr>
        <w:t xml:space="preserve">savings should pay for the financing over a period of </w:t>
      </w:r>
      <w:r w:rsidR="00C73654">
        <w:rPr>
          <w:szCs w:val="24"/>
        </w:rPr>
        <w:t>75-</w:t>
      </w:r>
      <w:r w:rsidRPr="00AA788C">
        <w:rPr>
          <w:szCs w:val="24"/>
        </w:rPr>
        <w:t xml:space="preserve"> 80% of the finance term (11-12 years for a 15 year term or </w:t>
      </w:r>
      <w:r w:rsidR="00C73654">
        <w:rPr>
          <w:szCs w:val="24"/>
        </w:rPr>
        <w:t>15-</w:t>
      </w:r>
      <w:r w:rsidRPr="00AA788C">
        <w:rPr>
          <w:szCs w:val="24"/>
        </w:rPr>
        <w:t>16 years for a 20 year term). Th</w:t>
      </w:r>
      <w:r w:rsidR="005609BC" w:rsidRPr="00AA788C">
        <w:rPr>
          <w:szCs w:val="24"/>
        </w:rPr>
        <w:t xml:space="preserve">is </w:t>
      </w:r>
      <w:r w:rsidRPr="00AA788C">
        <w:rPr>
          <w:szCs w:val="24"/>
        </w:rPr>
        <w:t xml:space="preserve">will </w:t>
      </w:r>
      <w:r w:rsidR="005609BC" w:rsidRPr="00AA788C">
        <w:rPr>
          <w:szCs w:val="24"/>
        </w:rPr>
        <w:t>allow</w:t>
      </w:r>
      <w:r w:rsidR="00160432" w:rsidRPr="00AA788C">
        <w:rPr>
          <w:szCs w:val="24"/>
        </w:rPr>
        <w:t xml:space="preserve"> the savings</w:t>
      </w:r>
      <w:r w:rsidRPr="00AA788C">
        <w:rPr>
          <w:szCs w:val="24"/>
        </w:rPr>
        <w:t xml:space="preserve"> to </w:t>
      </w:r>
      <w:r w:rsidR="00160432" w:rsidRPr="00AA788C">
        <w:rPr>
          <w:szCs w:val="24"/>
        </w:rPr>
        <w:t xml:space="preserve">also </w:t>
      </w:r>
      <w:r w:rsidRPr="00AA788C">
        <w:rPr>
          <w:szCs w:val="24"/>
        </w:rPr>
        <w:t>cover the cost of financing (origination fees, interest, etc.).</w:t>
      </w:r>
      <w:r w:rsidR="00C73654">
        <w:rPr>
          <w:szCs w:val="24"/>
        </w:rPr>
        <w:t xml:space="preserve"> </w:t>
      </w:r>
    </w:p>
    <w:p w:rsidR="00AA788C" w:rsidRPr="00AA788C" w:rsidRDefault="00AA788C" w:rsidP="00AA788C">
      <w:pPr>
        <w:pStyle w:val="ListParagraph"/>
        <w:rPr>
          <w:szCs w:val="24"/>
        </w:rPr>
      </w:pPr>
    </w:p>
    <w:p w:rsidR="00943B76" w:rsidRPr="00AA788C" w:rsidRDefault="00943B76" w:rsidP="00160432">
      <w:pPr>
        <w:pStyle w:val="ListParagraph"/>
        <w:numPr>
          <w:ilvl w:val="0"/>
          <w:numId w:val="3"/>
        </w:numPr>
        <w:rPr>
          <w:szCs w:val="24"/>
        </w:rPr>
      </w:pPr>
      <w:r w:rsidRPr="00AA788C">
        <w:rPr>
          <w:szCs w:val="24"/>
        </w:rPr>
        <w:t>The potential project size that could be supported by an EPC may be estimated by the product of the utility costs, savings percentage, and 80% of the finance term.</w:t>
      </w:r>
    </w:p>
    <w:p w:rsidR="000A3F77" w:rsidRPr="00AA788C" w:rsidRDefault="000A3F77" w:rsidP="00160432">
      <w:pPr>
        <w:spacing w:after="0"/>
        <w:ind w:left="1267"/>
        <w:rPr>
          <w:rFonts w:ascii="Times New Roman" w:hAnsi="Times New Roman" w:cs="Times New Roman"/>
          <w:sz w:val="24"/>
          <w:szCs w:val="24"/>
        </w:rPr>
      </w:pPr>
    </w:p>
    <w:p w:rsidR="00943B76" w:rsidRPr="00AA788C" w:rsidRDefault="00943B76" w:rsidP="00AA788C">
      <w:pPr>
        <w:spacing w:after="0"/>
        <w:rPr>
          <w:rFonts w:ascii="Times New Roman" w:hAnsi="Times New Roman" w:cs="Times New Roman"/>
          <w:sz w:val="24"/>
          <w:szCs w:val="24"/>
        </w:rPr>
      </w:pPr>
      <w:r w:rsidRPr="00AA788C">
        <w:rPr>
          <w:rFonts w:ascii="Times New Roman" w:hAnsi="Times New Roman" w:cs="Times New Roman"/>
          <w:sz w:val="24"/>
          <w:szCs w:val="24"/>
        </w:rPr>
        <w:t>Based on these guidelines, a facility with $20,000 annual utility costs</w:t>
      </w:r>
      <w:r w:rsidR="00160432" w:rsidRPr="00AA788C">
        <w:rPr>
          <w:rFonts w:ascii="Times New Roman" w:hAnsi="Times New Roman" w:cs="Times New Roman"/>
          <w:sz w:val="24"/>
          <w:szCs w:val="24"/>
        </w:rPr>
        <w:t xml:space="preserve"> and 25% savings </w:t>
      </w:r>
      <w:r w:rsidRPr="00AA788C">
        <w:rPr>
          <w:rFonts w:ascii="Times New Roman" w:hAnsi="Times New Roman" w:cs="Times New Roman"/>
          <w:sz w:val="24"/>
          <w:szCs w:val="24"/>
        </w:rPr>
        <w:t>could potentially support an EPC project of $75-80,000.</w:t>
      </w:r>
    </w:p>
    <w:p w:rsidR="00943B76" w:rsidRDefault="00943B76" w:rsidP="00943B76">
      <w:pPr>
        <w:spacing w:after="0"/>
        <w:rPr>
          <w:rFonts w:ascii="Times New Roman" w:hAnsi="Times New Roman" w:cs="Times New Roman"/>
          <w:sz w:val="24"/>
          <w:szCs w:val="24"/>
        </w:rPr>
      </w:pPr>
    </w:p>
    <w:p w:rsidR="00AA788C" w:rsidRPr="00AA788C" w:rsidRDefault="00AA788C" w:rsidP="00943B76">
      <w:pPr>
        <w:spacing w:after="0"/>
        <w:rPr>
          <w:rFonts w:ascii="Times New Roman" w:hAnsi="Times New Roman" w:cs="Times New Roman"/>
          <w:b/>
          <w:sz w:val="24"/>
          <w:szCs w:val="24"/>
        </w:rPr>
      </w:pPr>
      <w:r w:rsidRPr="00AA788C">
        <w:rPr>
          <w:rFonts w:ascii="Times New Roman" w:hAnsi="Times New Roman" w:cs="Times New Roman"/>
          <w:b/>
          <w:sz w:val="24"/>
          <w:szCs w:val="24"/>
        </w:rPr>
        <w:t>Other Factors to Consider</w:t>
      </w:r>
    </w:p>
    <w:p w:rsidR="00C73654" w:rsidRDefault="00C73654" w:rsidP="00943B76">
      <w:pPr>
        <w:spacing w:after="0"/>
        <w:rPr>
          <w:rFonts w:ascii="Times New Roman" w:hAnsi="Times New Roman" w:cs="Times New Roman"/>
          <w:sz w:val="24"/>
          <w:szCs w:val="24"/>
        </w:rPr>
      </w:pPr>
      <w:r>
        <w:rPr>
          <w:rFonts w:ascii="Times New Roman" w:hAnsi="Times New Roman" w:cs="Times New Roman"/>
          <w:sz w:val="24"/>
          <w:szCs w:val="24"/>
        </w:rPr>
        <w:t xml:space="preserve">When considering an EPC, </w:t>
      </w:r>
      <w:r w:rsidR="009B49AF">
        <w:rPr>
          <w:rFonts w:ascii="Times New Roman" w:hAnsi="Times New Roman" w:cs="Times New Roman"/>
          <w:sz w:val="24"/>
          <w:szCs w:val="24"/>
        </w:rPr>
        <w:t xml:space="preserve">funds to cover </w:t>
      </w:r>
      <w:r>
        <w:rPr>
          <w:rFonts w:ascii="Times New Roman" w:hAnsi="Times New Roman" w:cs="Times New Roman"/>
          <w:sz w:val="24"/>
          <w:szCs w:val="24"/>
        </w:rPr>
        <w:t>the cost of the Investment Grade Audit (IGA) should be included in the budget.</w:t>
      </w:r>
      <w:r w:rsidR="00B325CA">
        <w:rPr>
          <w:rFonts w:ascii="Times New Roman" w:hAnsi="Times New Roman" w:cs="Times New Roman"/>
          <w:sz w:val="24"/>
          <w:szCs w:val="24"/>
        </w:rPr>
        <w:t xml:space="preserve"> Although the cost of the IGA may be included in the financing of an EPC, the funds to cover the cost of the IGA should be available in case the project does not proceed to an EPC.</w:t>
      </w:r>
    </w:p>
    <w:p w:rsidR="00C73654" w:rsidRDefault="00C73654" w:rsidP="00943B76">
      <w:pPr>
        <w:spacing w:after="0"/>
        <w:rPr>
          <w:rFonts w:ascii="Times New Roman" w:hAnsi="Times New Roman" w:cs="Times New Roman"/>
          <w:sz w:val="24"/>
          <w:szCs w:val="24"/>
        </w:rPr>
      </w:pPr>
    </w:p>
    <w:p w:rsidR="00AA788C" w:rsidRDefault="006A4424" w:rsidP="00943B76">
      <w:pPr>
        <w:spacing w:after="0"/>
        <w:rPr>
          <w:rFonts w:ascii="Times New Roman" w:hAnsi="Times New Roman" w:cs="Times New Roman"/>
          <w:sz w:val="24"/>
          <w:szCs w:val="24"/>
        </w:rPr>
      </w:pPr>
      <w:r>
        <w:rPr>
          <w:rFonts w:ascii="Times New Roman" w:hAnsi="Times New Roman" w:cs="Times New Roman"/>
          <w:sz w:val="24"/>
          <w:szCs w:val="24"/>
        </w:rPr>
        <w:t>The total cost of and EPC project includes the cost of the IGA, the EPC including all financing costs, and measurement and verification for a minimum of three years. EPC allows a portion of the total project cost to be paid up front, thereby reducing the financed amount.</w:t>
      </w:r>
      <w:r w:rsidR="00862597">
        <w:rPr>
          <w:rFonts w:ascii="Times New Roman" w:hAnsi="Times New Roman" w:cs="Times New Roman"/>
          <w:sz w:val="24"/>
          <w:szCs w:val="24"/>
        </w:rPr>
        <w:t xml:space="preserve"> Although there are a variety of sources allowed by statute, the most common are available cash and utility incentives.</w:t>
      </w:r>
    </w:p>
    <w:p w:rsidR="00862597" w:rsidRDefault="00862597" w:rsidP="00943B76">
      <w:pPr>
        <w:spacing w:after="0"/>
        <w:rPr>
          <w:rFonts w:ascii="Times New Roman" w:hAnsi="Times New Roman" w:cs="Times New Roman"/>
          <w:sz w:val="24"/>
          <w:szCs w:val="24"/>
        </w:rPr>
      </w:pPr>
    </w:p>
    <w:p w:rsidR="00862597" w:rsidRDefault="00862597" w:rsidP="00943B76">
      <w:pPr>
        <w:spacing w:after="0"/>
        <w:rPr>
          <w:rFonts w:ascii="Times New Roman" w:hAnsi="Times New Roman" w:cs="Times New Roman"/>
          <w:sz w:val="24"/>
          <w:szCs w:val="24"/>
        </w:rPr>
      </w:pPr>
      <w:r>
        <w:rPr>
          <w:rFonts w:ascii="Times New Roman" w:hAnsi="Times New Roman" w:cs="Times New Roman"/>
          <w:sz w:val="24"/>
          <w:szCs w:val="24"/>
        </w:rPr>
        <w:t xml:space="preserve">Some EPC projects include components that are not cost-effective from a utility savings perspective. </w:t>
      </w:r>
      <w:r w:rsidR="009B49AF">
        <w:rPr>
          <w:rFonts w:ascii="Times New Roman" w:hAnsi="Times New Roman" w:cs="Times New Roman"/>
          <w:sz w:val="24"/>
          <w:szCs w:val="24"/>
        </w:rPr>
        <w:t xml:space="preserve">These components often include deferred maintenance or major capital improvements such as boiler replacement that have longer term paybacks. </w:t>
      </w:r>
      <w:r>
        <w:rPr>
          <w:rFonts w:ascii="Times New Roman" w:hAnsi="Times New Roman" w:cs="Times New Roman"/>
          <w:sz w:val="24"/>
          <w:szCs w:val="24"/>
        </w:rPr>
        <w:t xml:space="preserve">In this case the upfront payments </w:t>
      </w:r>
      <w:r w:rsidR="009B49AF">
        <w:rPr>
          <w:rFonts w:ascii="Times New Roman" w:hAnsi="Times New Roman" w:cs="Times New Roman"/>
          <w:sz w:val="24"/>
          <w:szCs w:val="24"/>
        </w:rPr>
        <w:t>may be</w:t>
      </w:r>
      <w:r>
        <w:rPr>
          <w:rFonts w:ascii="Times New Roman" w:hAnsi="Times New Roman" w:cs="Times New Roman"/>
          <w:sz w:val="24"/>
          <w:szCs w:val="24"/>
        </w:rPr>
        <w:t xml:space="preserve"> used to pay for these components. However, the </w:t>
      </w:r>
      <w:r w:rsidR="00C73654">
        <w:rPr>
          <w:rFonts w:ascii="Times New Roman" w:hAnsi="Times New Roman" w:cs="Times New Roman"/>
          <w:sz w:val="24"/>
          <w:szCs w:val="24"/>
        </w:rPr>
        <w:t xml:space="preserve">energy component </w:t>
      </w:r>
      <w:r w:rsidR="009B49AF">
        <w:rPr>
          <w:rFonts w:ascii="Times New Roman" w:hAnsi="Times New Roman" w:cs="Times New Roman"/>
          <w:sz w:val="24"/>
          <w:szCs w:val="24"/>
        </w:rPr>
        <w:t>i</w:t>
      </w:r>
      <w:r w:rsidR="00C73654">
        <w:rPr>
          <w:rFonts w:ascii="Times New Roman" w:hAnsi="Times New Roman" w:cs="Times New Roman"/>
          <w:sz w:val="24"/>
          <w:szCs w:val="24"/>
        </w:rPr>
        <w:t>s the majority of the total project cost.</w:t>
      </w:r>
    </w:p>
    <w:p w:rsidR="00C73654" w:rsidRDefault="00C73654" w:rsidP="00943B76">
      <w:pPr>
        <w:spacing w:after="0"/>
        <w:rPr>
          <w:rFonts w:ascii="Times New Roman" w:hAnsi="Times New Roman" w:cs="Times New Roman"/>
          <w:sz w:val="24"/>
          <w:szCs w:val="24"/>
        </w:rPr>
      </w:pPr>
    </w:p>
    <w:p w:rsidR="00C73654" w:rsidRPr="00AA788C" w:rsidRDefault="00C73654" w:rsidP="00943B76">
      <w:pPr>
        <w:spacing w:after="0"/>
        <w:rPr>
          <w:rFonts w:ascii="Times New Roman" w:hAnsi="Times New Roman" w:cs="Times New Roman"/>
          <w:sz w:val="24"/>
          <w:szCs w:val="24"/>
        </w:rPr>
      </w:pPr>
    </w:p>
    <w:sectPr w:rsidR="00C73654" w:rsidRPr="00AA78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9A2" w:rsidRDefault="00B559A2" w:rsidP="00B559A2">
      <w:pPr>
        <w:spacing w:after="0" w:line="240" w:lineRule="auto"/>
      </w:pPr>
      <w:r>
        <w:separator/>
      </w:r>
    </w:p>
  </w:endnote>
  <w:endnote w:type="continuationSeparator" w:id="0">
    <w:p w:rsidR="00B559A2" w:rsidRDefault="00B559A2" w:rsidP="00B55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9A2" w:rsidRPr="00B559A2" w:rsidRDefault="00B559A2">
    <w:pPr>
      <w:pStyle w:val="Footer"/>
      <w:rPr>
        <w:rFonts w:ascii="Times New Roman" w:hAnsi="Times New Roman" w:cs="Times New Roman"/>
        <w:sz w:val="24"/>
        <w:szCs w:val="24"/>
      </w:rPr>
    </w:pPr>
    <w:r>
      <w:rPr>
        <w:rFonts w:ascii="Times New Roman" w:hAnsi="Times New Roman" w:cs="Times New Roman"/>
        <w:sz w:val="24"/>
        <w:szCs w:val="24"/>
      </w:rPr>
      <w:t>EPC Right for Me</w:t>
    </w:r>
    <w:r w:rsidRPr="00B559A2">
      <w:rPr>
        <w:rFonts w:ascii="Times New Roman" w:hAnsi="Times New Roman" w:cs="Times New Roman"/>
        <w:sz w:val="24"/>
        <w:szCs w:val="24"/>
      </w:rPr>
      <w:ptab w:relativeTo="margin" w:alignment="center" w:leader="none"/>
    </w:r>
    <w:r w:rsidRPr="00B559A2">
      <w:rPr>
        <w:rFonts w:ascii="Times New Roman" w:hAnsi="Times New Roman" w:cs="Times New Roman"/>
        <w:sz w:val="24"/>
        <w:szCs w:val="24"/>
      </w:rPr>
      <w:fldChar w:fldCharType="begin"/>
    </w:r>
    <w:r w:rsidRPr="00B559A2">
      <w:rPr>
        <w:rFonts w:ascii="Times New Roman" w:hAnsi="Times New Roman" w:cs="Times New Roman"/>
        <w:sz w:val="24"/>
        <w:szCs w:val="24"/>
      </w:rPr>
      <w:instrText xml:space="preserve"> PAGE   \* MERGEFORMAT </w:instrText>
    </w:r>
    <w:r w:rsidRPr="00B559A2">
      <w:rPr>
        <w:rFonts w:ascii="Times New Roman" w:hAnsi="Times New Roman" w:cs="Times New Roman"/>
        <w:sz w:val="24"/>
        <w:szCs w:val="24"/>
      </w:rPr>
      <w:fldChar w:fldCharType="separate"/>
    </w:r>
    <w:r>
      <w:rPr>
        <w:rFonts w:ascii="Times New Roman" w:hAnsi="Times New Roman" w:cs="Times New Roman"/>
        <w:noProof/>
        <w:sz w:val="24"/>
        <w:szCs w:val="24"/>
      </w:rPr>
      <w:t>2</w:t>
    </w:r>
    <w:r w:rsidRPr="00B559A2">
      <w:rPr>
        <w:rFonts w:ascii="Times New Roman" w:hAnsi="Times New Roman" w:cs="Times New Roman"/>
        <w:noProof/>
        <w:sz w:val="24"/>
        <w:szCs w:val="24"/>
      </w:rPr>
      <w:fldChar w:fldCharType="end"/>
    </w:r>
    <w:r w:rsidRPr="00B559A2">
      <w:rPr>
        <w:rFonts w:ascii="Times New Roman" w:hAnsi="Times New Roman" w:cs="Times New Roman"/>
        <w:sz w:val="24"/>
        <w:szCs w:val="24"/>
      </w:rPr>
      <w:ptab w:relativeTo="margin" w:alignment="right" w:leader="none"/>
    </w:r>
    <w:r>
      <w:rPr>
        <w:rFonts w:ascii="Times New Roman" w:hAnsi="Times New Roman" w:cs="Times New Roman"/>
        <w:sz w:val="24"/>
        <w:szCs w:val="24"/>
      </w:rPr>
      <w:t>9/29/2020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9A2" w:rsidRDefault="00B559A2" w:rsidP="00B559A2">
      <w:pPr>
        <w:spacing w:after="0" w:line="240" w:lineRule="auto"/>
      </w:pPr>
      <w:r>
        <w:separator/>
      </w:r>
    </w:p>
  </w:footnote>
  <w:footnote w:type="continuationSeparator" w:id="0">
    <w:p w:rsidR="00B559A2" w:rsidRDefault="00B559A2" w:rsidP="00B55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83AB5"/>
    <w:multiLevelType w:val="hybridMultilevel"/>
    <w:tmpl w:val="E63C0E6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67307610"/>
    <w:multiLevelType w:val="hybridMultilevel"/>
    <w:tmpl w:val="24DC7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B0299F"/>
    <w:multiLevelType w:val="hybridMultilevel"/>
    <w:tmpl w:val="F08E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76"/>
    <w:rsid w:val="000A3F77"/>
    <w:rsid w:val="00160432"/>
    <w:rsid w:val="005609BC"/>
    <w:rsid w:val="005915D8"/>
    <w:rsid w:val="005B5ED9"/>
    <w:rsid w:val="00627166"/>
    <w:rsid w:val="00641032"/>
    <w:rsid w:val="00694831"/>
    <w:rsid w:val="006A4424"/>
    <w:rsid w:val="00797428"/>
    <w:rsid w:val="00862597"/>
    <w:rsid w:val="00943B76"/>
    <w:rsid w:val="009B49AF"/>
    <w:rsid w:val="009D288A"/>
    <w:rsid w:val="00A77513"/>
    <w:rsid w:val="00AA788C"/>
    <w:rsid w:val="00B325CA"/>
    <w:rsid w:val="00B369ED"/>
    <w:rsid w:val="00B45EA8"/>
    <w:rsid w:val="00B559A2"/>
    <w:rsid w:val="00C73654"/>
    <w:rsid w:val="00C91C19"/>
    <w:rsid w:val="00D06D31"/>
    <w:rsid w:val="00E242CB"/>
    <w:rsid w:val="00E7435B"/>
    <w:rsid w:val="00FB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F3B2"/>
  <w15:docId w15:val="{CD2F5926-ABFD-436A-AC4F-2AC1472C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B76"/>
    <w:pPr>
      <w:spacing w:after="0" w:line="240" w:lineRule="auto"/>
      <w:ind w:left="720"/>
      <w:contextualSpacing/>
    </w:pPr>
    <w:rPr>
      <w:rFonts w:ascii="Times New Roman" w:eastAsia="Times New Roman" w:hAnsi="Times New Roman" w:cs="Times New Roman"/>
      <w:sz w:val="24"/>
      <w:szCs w:val="20"/>
    </w:rPr>
  </w:style>
  <w:style w:type="table" w:styleId="TableGrid">
    <w:name w:val="Table Grid"/>
    <w:basedOn w:val="TableNormal"/>
    <w:uiPriority w:val="59"/>
    <w:rsid w:val="00A77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5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9A2"/>
  </w:style>
  <w:style w:type="paragraph" w:styleId="Footer">
    <w:name w:val="footer"/>
    <w:basedOn w:val="Normal"/>
    <w:link w:val="FooterChar"/>
    <w:uiPriority w:val="99"/>
    <w:unhideWhenUsed/>
    <w:rsid w:val="00B55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Pecarina</dc:creator>
  <cp:lastModifiedBy>Pecarina, Ronald</cp:lastModifiedBy>
  <cp:revision>3</cp:revision>
  <dcterms:created xsi:type="dcterms:W3CDTF">2020-09-18T16:14:00Z</dcterms:created>
  <dcterms:modified xsi:type="dcterms:W3CDTF">2020-09-29T21:51:00Z</dcterms:modified>
</cp:coreProperties>
</file>